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297</w:t>
      </w:r>
    </w:p>
    <w:p>
      <w:r>
        <w:t>Bundesgericht (BGE), 2006-11-17, FR</w:t>
      </w:r>
    </w:p>
    <w:p>
      <w:r>
        <w:rPr>
          <w:b/>
        </w:rPr>
        <w:t xml:space="preserve">Quelle: </w:t>
      </w:r>
      <w:r>
        <w:t>https://mcp.opencaselaw.ch/entscheid/bge_133 IV 297</w:t>
      </w:r>
    </w:p>
    <w:p>
      <w:r>
        <w:t>FR: ATF 133 IV 297</w:t>
      </w:r>
    </w:p>
    <w:p>
      <w:r>
        <w:t>IT: DTF 133 IV 297</w:t>
      </w:r>
    </w:p>
    <w:p>
      <w:pPr>
        <w:pStyle w:val="Heading2"/>
      </w:pPr>
      <w:r>
        <w:t>Regeste</w:t>
      </w:r>
    </w:p>
    <w:p>
      <w:r>
        <w:t>Regeste Art. 68 Ziff. 1 aStGB, 140 und 185 StGB; Konkurrenz zwischen Raub und Geiselnahme. Zwischen Raub und Geiselnahme besteht Konkurrenz, wenn sich die Drohung des Täters gegen Personen richtet, von denen er glaubt, sie könnten ihm Zugang zur Sache verschaffen, die er zu stehlen beabsichtigt, und er zudem weitere, unbeteiligte Personen in seine Gewalt bringt in der Absicht, jene Personen zu nötigen, die ihm Zugang zur Sache verschaffen sollen (E. 4.).</w:t>
      </w:r>
    </w:p>
    <w:p>
      <w:pPr>
        <w:pStyle w:val="Heading2"/>
      </w:pPr>
      <w:r>
        <w:t>Erwägungen</w:t>
      </w:r>
    </w:p>
    <w:p>
      <w:r>
        <w:rPr>
          <w:b/>
        </w:rPr>
        <w:t>E. 4</w:t>
      </w:r>
    </w:p>
    <w:p>
      <w:r>
        <w:t>En réalité, le recourant conteste surtout que l'infraction litigieuse puisse être retenue en concours avec le brigandage.</w:t>
      </w:r>
    </w:p>
    <w:p>
      <w:r>
        <w:rPr>
          <w:b/>
        </w:rPr>
        <w:t>E. 4.1</w:t>
      </w:r>
    </w:p>
    <w:p>
      <w:r>
        <w:t>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L' art. 140 CP , qui réprime le brigandage, protège le patrimoine, mais aussi la liberté d'autrui ( ATF 129 IV 61 consid. 2.1 p. 63). En BGE 133 IV 297 S. 301 revanche, l' art. 185 CP protège exclusivement la liberté, de l'otage, d'une part, et du tiers contraint, d'autre part. Les biens juridiques protégés par l'une et l'autre disposition ne se recouvrent donc pas entièrement. Dans l' ATF 113 IV 63 , le Tribunal fédéral a été amené à examiner le cas où, dans un premier temps, l'auteur avait exclusivement menacé l'employée de la poste avec un pistolet et obtenu ainsi qu'elle lui remette l'argent déposé près du guichet, puis, dans un second temps, dirigé son arme contre une cliente, ce qui avait conduit l'employée de la poste à placer une somme d'argent dans un sac et à le lui remettre, sans que, durant cette seconde phase, l'employée ait été à nouveau menacée. Il a estimé que le comportement adopté par l'auteur durant la première phase était constitutif de brigandage et que celui par lequel, durant la seconde phase, il avait uniquement menacé la cliente pour l'immobiliser près du guichet et l'avait ainsi mise hors d'état de résister, était constitutif de prise d'otage. Il a considéré que, dans un tel cas, il y a concours entre le brigandage et la prise d'otage. La doctrine majoritaire souscrit à cette jurisprudence (cf. BERNARD CORBOZ, Les infractions en droit suisse, vol. I, Berne 2002, art. 185 CP , n. 53; REHBERG/SCHMID, Strafrecht III, Delikte gegen den Einzelnen, 7 e éd., Zurich 1997, p. 366; SCHUBARTH, Kommentar zum schweizerischen Strafrecht, vol. II, art. 139 aCP, n. 97; TRECHSEL, Kurzkommentar, 2 e éd., Zurich 1997, art. 185 CP , n. 11; ANDREAS KOCH, Zur Abgrenzung von Raub, Erpressung und Geiselnahme, thèse Zurich 1994, p. 153 ss, qui estime toutefois que dans l' ATF 113 IV 63 c'est le concours réel qui eût dû être retenu). Certains auteurs sont en revanche d'un autre avis. Ainsi, pour STRATENWERTH, la prise d'otage absorbe le brigandage, car la peine encourue pour la première de ces infractions suffit pour tenir compte des spécificités de la seconde dans le cadre de la fixation de la peine (cf. STRATENWERTH, Schweizerisches Strafrecht, Partie spéciale II, 6 e éd., Berne 2003, § 5 n. 58). VERA DELNON et BERNHARD RÜDY estiment que, lorsque la violence ou la menace exercée par l'auteur contre des tiers ou des personnes susceptibles de le protéger vise exclusivement à briser la résistance de celui qui a la garde du bien convoité, seul le brigandage doit être retenu. En revanche, si la volonté de l'auteur va au-delà de la remise du bien convoité et s'il prend une personne en son pouvoir ou s'il utilise une personne qu'il a déjà BGE 133 IV 297 S. 302 maîtrisée, pour, par exemple, obliger la police à le laisser s'enfuir, il y a concours idéal entre le brigandage et la prise d'otage (cf. VERA DELNON/BERNHARD RÜDY, Verbrechen und Vergehen gegen die Freiheit, Strafgesetzbuch II, in Basler Kommentar II, art. 185 CP , n. 52; dans le même sens, cf. également MARCEL ALEXANDER NIGGLI/CHRISTOF RIEDO, Strafbare Handlungen gegen das Vermögen, in Basler Kommentar, Strafgesetzbuch II, art. 140 CP , n. 183).</w:t>
      </w:r>
    </w:p>
    <w:p>
      <w:r>
        <w:rPr>
          <w:b/>
        </w:rPr>
        <w:t>E. 4.2</w:t>
      </w:r>
    </w:p>
    <w:p>
      <w:r>
        <w:t>L'opinion de STRATENWERTH n'est pas convaincante. Pour déterminer s'il y a concours idéal entre deux infractions ou si, au contraire, l'une d'elles absorbe l'autre, la question pertinente est de savoir si les biens juridiques protégés par chacune d'elles se recouvrent. S'ils ne se recouvrent pas ou pas entièrement, aucune des deux infractions ne saisit le comportement de l'auteur sous tous ses aspects, de sorte que toutes deux doivent être retenues. On ne voit pas en quoi le fait que la peine encourue, théoriquement, pour l'une d'elles suffirait pour conclure qu'elle absorbe l'autre. L'opinion de VERA DELNON et de BERNHARD RÜDY peut être suivie, dans la mesure où ces deux auteurs admettent le concours entre le brigandage et la prise d'otage, lorsque celui qui commet un brigandage se rend aussi maître d'une personne pour empêcher la police de le poursuivre. Dans la mesure toutefois où ils considèrent que le recours à la violence ou à la menace contre une personne non impliquée, dans le but d'exercer une contrainte sur celui qui a la garde du bien convoité, est constitutif de brigandage, leur opinion repose sur le raisonnement de l' ATF 102 IV 20 , qui a été abandonné dans l' ATF 113 IV 63 , depuis lequel le Tribunal fédéral qualifie un tel comportement de prise d'otage.</w:t>
      </w:r>
    </w:p>
    <w:p>
      <w:r>
        <w:rPr>
          <w:b/>
        </w:rPr>
        <w:t>E. 4.3</w:t>
      </w:r>
    </w:p>
    <w:p>
      <w:r>
        <w:t>En l'espèce, le recourant et son comparse ont menacé des personnes dont ils croyaient qu'elles pourraient leur donner accès au coffre, afin qu'elles le leur ouvrent et qu'ils puissent s'emparer de son contenu, adoptant ainsi un comportement qui doit être qualifié de brigandage. Ils se sont cependant aussi rendus maîtres de nombreuses autres personnes, non impliquées, et cela également dans le but de contraindre celles qui étaient susceptibles de le faire de leur ouvrir le coffre; un tel comportement doit être qualifié de prise d'otage. Les deux infractions sont donc réalisées et doivent être retenues en concours, cela d'autant plus que les agissements du recourant et de son comparse ont porté atteinte non seulement à la liberté des employés séquestrés et de la personne contrainte de leur ouvrir le BGE 133 IV 297 S. 303 coffre, mais aussi au patrimoine d'autrui, soit à un bien juridique protégé par l' art. 140 CP , mais non par l' art. 185 CP . Subséquemment, l'arrêt attaqué ne viole pas le droit fédéral en tant qu'il retient le concours entre le brigandage et la prise d'otage.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